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sfondo" recolor="t" type="frame"/>
    </v:background>
  </w:background>
  <w:body>
    <w:p w14:paraId="504C6829" w14:textId="77777777" w:rsidR="00AE7F6F" w:rsidRDefault="00AE7F6F" w:rsidP="00AE7F6F">
      <w:pPr>
        <w:jc w:val="center"/>
        <w:rPr>
          <w:b/>
          <w:sz w:val="40"/>
        </w:rPr>
      </w:pPr>
      <w:r w:rsidRPr="00B53BB5">
        <w:rPr>
          <w:b/>
          <w:sz w:val="40"/>
        </w:rPr>
        <w:t>REGOLAMENTO PER IL CONTINGETAMENTO DELLE SQUADRE IN RAPPORTO AL NUMERO DEGLI ARBITRI</w:t>
      </w:r>
    </w:p>
    <w:p w14:paraId="4DB4610C" w14:textId="77777777" w:rsidR="00AE7F6F" w:rsidRDefault="00AE7F6F" w:rsidP="004D0492">
      <w:pPr>
        <w:spacing w:after="0"/>
        <w:rPr>
          <w:b/>
        </w:rPr>
      </w:pPr>
      <w:r>
        <w:rPr>
          <w:b/>
        </w:rPr>
        <w:t>Art. 1. BASE LEGALE</w:t>
      </w:r>
    </w:p>
    <w:p w14:paraId="1BFBF64F" w14:textId="77777777" w:rsidR="00AE7F6F" w:rsidRDefault="00AE7F6F" w:rsidP="00AE7F6F">
      <w:r>
        <w:t>Il Comitato della FTC avvalendosi delle facoltà conferitegli dalle disposizioni statuarie e in particolare dell’art. 3 cifra 7 e punti 1 e 2 RG, adotta il presente regolamento tendente a regolare l’iscrizione ai campionati in relazione al numero degli arbitri qualificati a disposizione.</w:t>
      </w:r>
    </w:p>
    <w:p w14:paraId="2C24EC39" w14:textId="77777777" w:rsidR="00AE7F6F" w:rsidRDefault="00AE7F6F" w:rsidP="004D0492">
      <w:pPr>
        <w:spacing w:after="0"/>
        <w:rPr>
          <w:b/>
        </w:rPr>
      </w:pPr>
      <w:r>
        <w:rPr>
          <w:b/>
        </w:rPr>
        <w:t>Art. 2. PRINCIPIO GENERALE</w:t>
      </w:r>
    </w:p>
    <w:p w14:paraId="1F87110A" w14:textId="77777777" w:rsidR="00AE7F6F" w:rsidRDefault="00AE7F6F" w:rsidP="00AE7F6F">
      <w:pPr>
        <w:pStyle w:val="Paragrafoelenco"/>
        <w:numPr>
          <w:ilvl w:val="0"/>
          <w:numId w:val="1"/>
        </w:numPr>
      </w:pPr>
      <w:r>
        <w:t>L’iscrizione di squadre ai campionati, è subordinata al rispetto del rapporto fra il numero degli arbitri che ogni società mette a disposizione e deve corrispondere alla chiave di riparto di cui all’art. 3 del presente regolamento.</w:t>
      </w:r>
    </w:p>
    <w:p w14:paraId="1BA5674E" w14:textId="77777777" w:rsidR="00AE7F6F" w:rsidRDefault="00AE7F6F" w:rsidP="00AE7F6F">
      <w:pPr>
        <w:pStyle w:val="Paragrafoelenco"/>
        <w:numPr>
          <w:ilvl w:val="0"/>
          <w:numId w:val="1"/>
        </w:numPr>
      </w:pPr>
      <w:r>
        <w:t>Il presente regolamento si applica alle squadre a 11 giocatori.</w:t>
      </w:r>
    </w:p>
    <w:p w14:paraId="3378D76E" w14:textId="77777777" w:rsidR="00AE7F6F" w:rsidRDefault="00AE7F6F" w:rsidP="00AE7F6F">
      <w:pPr>
        <w:pStyle w:val="Paragrafoelenco"/>
        <w:numPr>
          <w:ilvl w:val="0"/>
          <w:numId w:val="1"/>
        </w:numPr>
      </w:pPr>
      <w:r>
        <w:t>Resta riservata la facoltà per il Comitato della FTC di derogare al principio sopraindicato entro i limiti di cui all’art. 6 del presente regolamento.</w:t>
      </w:r>
    </w:p>
    <w:p w14:paraId="3DED645D" w14:textId="77777777" w:rsidR="00AE7F6F" w:rsidRDefault="00AE7F6F" w:rsidP="00AE7F6F">
      <w:pPr>
        <w:pStyle w:val="Paragrafoelenco"/>
        <w:numPr>
          <w:ilvl w:val="0"/>
          <w:numId w:val="1"/>
        </w:numPr>
      </w:pPr>
      <w:r>
        <w:t>Nel conteggio sono considerati gli arbitri qualificati, gli assistenti arbitri, gli istruttori ASF e gli ispettori FTC in attività.</w:t>
      </w:r>
    </w:p>
    <w:p w14:paraId="57300F9D" w14:textId="77777777" w:rsidR="00AE7F6F" w:rsidRDefault="00AE7F6F" w:rsidP="00AE7F6F">
      <w:pPr>
        <w:pStyle w:val="Paragrafoelenco"/>
        <w:numPr>
          <w:ilvl w:val="0"/>
          <w:numId w:val="1"/>
        </w:numPr>
      </w:pPr>
      <w:r>
        <w:t>Le squadre delle categorie allievi D9/D7/E/F non sono considerate nel reparto.</w:t>
      </w:r>
    </w:p>
    <w:p w14:paraId="69D3CCFB" w14:textId="27526519" w:rsidR="00AE7F6F" w:rsidRPr="00AD5ECC" w:rsidRDefault="00AE7F6F" w:rsidP="004D0492">
      <w:pPr>
        <w:spacing w:after="0"/>
        <w:rPr>
          <w:b/>
        </w:rPr>
      </w:pPr>
      <w:r w:rsidRPr="00AD5ECC">
        <w:rPr>
          <w:b/>
        </w:rPr>
        <w:t xml:space="preserve">Art. 3. </w:t>
      </w:r>
      <w:r w:rsidR="005317AE">
        <w:rPr>
          <w:b/>
        </w:rPr>
        <w:t>CH</w:t>
      </w:r>
      <w:r>
        <w:rPr>
          <w:b/>
        </w:rPr>
        <w:t>I</w:t>
      </w:r>
      <w:r w:rsidR="005317AE">
        <w:rPr>
          <w:b/>
        </w:rPr>
        <w:t>A</w:t>
      </w:r>
      <w:r>
        <w:rPr>
          <w:b/>
        </w:rPr>
        <w:t>VE DI REPARTO</w:t>
      </w:r>
    </w:p>
    <w:p w14:paraId="7D6B95F1" w14:textId="77777777" w:rsidR="00AE7F6F" w:rsidRDefault="00AE7F6F" w:rsidP="00AE7F6F">
      <w:pPr>
        <w:pStyle w:val="Paragrafoelenco"/>
        <w:numPr>
          <w:ilvl w:val="0"/>
          <w:numId w:val="2"/>
        </w:numPr>
      </w:pPr>
      <w:r>
        <w:t>Viene stabilita la seguente chiave di reparto:</w:t>
      </w:r>
    </w:p>
    <w:tbl>
      <w:tblPr>
        <w:tblStyle w:val="Grigliatabella"/>
        <w:tblW w:w="0" w:type="auto"/>
        <w:tblInd w:w="3496" w:type="dxa"/>
        <w:tblLook w:val="04A0" w:firstRow="1" w:lastRow="0" w:firstColumn="1" w:lastColumn="0" w:noHBand="0" w:noVBand="1"/>
      </w:tblPr>
      <w:tblGrid>
        <w:gridCol w:w="2201"/>
        <w:gridCol w:w="1889"/>
      </w:tblGrid>
      <w:tr w:rsidR="004D0492" w14:paraId="788622D0" w14:textId="77777777" w:rsidTr="004D0492">
        <w:trPr>
          <w:trHeight w:val="283"/>
        </w:trPr>
        <w:tc>
          <w:tcPr>
            <w:tcW w:w="2201" w:type="dxa"/>
          </w:tcPr>
          <w:p w14:paraId="0A23A444" w14:textId="46A6EDA5" w:rsidR="004D0492" w:rsidRDefault="004D0492" w:rsidP="00346944">
            <w:pPr>
              <w:jc w:val="center"/>
            </w:pPr>
            <w:r>
              <w:t>Arbitri a disposizione</w:t>
            </w:r>
          </w:p>
        </w:tc>
        <w:tc>
          <w:tcPr>
            <w:tcW w:w="1889" w:type="dxa"/>
          </w:tcPr>
          <w:p w14:paraId="14616C58" w14:textId="4D6C43E7" w:rsidR="004D0492" w:rsidRDefault="004D0492" w:rsidP="00346944">
            <w:pPr>
              <w:jc w:val="center"/>
            </w:pPr>
            <w:r>
              <w:t>Squadre iscrivibili</w:t>
            </w:r>
          </w:p>
        </w:tc>
      </w:tr>
      <w:tr w:rsidR="004D0492" w14:paraId="768F626A" w14:textId="77777777" w:rsidTr="004D0492">
        <w:trPr>
          <w:trHeight w:val="283"/>
        </w:trPr>
        <w:tc>
          <w:tcPr>
            <w:tcW w:w="2201" w:type="dxa"/>
          </w:tcPr>
          <w:p w14:paraId="23E5331F" w14:textId="52F43EE5" w:rsidR="004D0492" w:rsidRDefault="004D0492" w:rsidP="00346944">
            <w:pPr>
              <w:jc w:val="center"/>
            </w:pPr>
            <w:r>
              <w:t>1</w:t>
            </w:r>
            <w:r>
              <w:br/>
              <w:t>1</w:t>
            </w:r>
            <w:r>
              <w:br/>
              <w:t>2</w:t>
            </w:r>
            <w:r>
              <w:br/>
              <w:t>3</w:t>
            </w:r>
            <w:r>
              <w:br/>
              <w:t>4</w:t>
            </w:r>
            <w:r>
              <w:br/>
              <w:t>5</w:t>
            </w:r>
            <w:r>
              <w:br/>
              <w:t>6</w:t>
            </w:r>
            <w:r>
              <w:br/>
              <w:t>7</w:t>
            </w:r>
            <w:r>
              <w:br/>
              <w:t>8</w:t>
            </w:r>
          </w:p>
        </w:tc>
        <w:tc>
          <w:tcPr>
            <w:tcW w:w="1889" w:type="dxa"/>
          </w:tcPr>
          <w:p w14:paraId="2AE6E296" w14:textId="5FDEE5DC" w:rsidR="004D0492" w:rsidRDefault="004D0492" w:rsidP="00346944">
            <w:pPr>
              <w:jc w:val="center"/>
            </w:pPr>
            <w:r>
              <w:t>1</w:t>
            </w:r>
            <w:r>
              <w:br/>
              <w:t>2</w:t>
            </w:r>
            <w:r>
              <w:br/>
              <w:t>4</w:t>
            </w:r>
            <w:r>
              <w:br/>
              <w:t>6</w:t>
            </w:r>
            <w:r>
              <w:br/>
              <w:t>8</w:t>
            </w:r>
            <w:r>
              <w:br/>
              <w:t>10</w:t>
            </w:r>
            <w:r>
              <w:br/>
              <w:t>12</w:t>
            </w:r>
            <w:r>
              <w:br/>
              <w:t>14</w:t>
            </w:r>
            <w:r>
              <w:br/>
              <w:t>16</w:t>
            </w:r>
          </w:p>
        </w:tc>
      </w:tr>
    </w:tbl>
    <w:p w14:paraId="1B13ED57" w14:textId="77777777" w:rsidR="00AE7F6F" w:rsidRDefault="00AE7F6F" w:rsidP="00AE7F6F"/>
    <w:p w14:paraId="6684EBF5" w14:textId="77777777" w:rsidR="00AE7F6F" w:rsidRDefault="00AE7F6F" w:rsidP="00AE7F6F">
      <w:pPr>
        <w:pStyle w:val="Paragrafoelenco"/>
        <w:numPr>
          <w:ilvl w:val="0"/>
          <w:numId w:val="2"/>
        </w:numPr>
      </w:pPr>
      <w:r>
        <w:t>Raggruppamento allievi:</w:t>
      </w:r>
    </w:p>
    <w:p w14:paraId="464775AD" w14:textId="073EAA8A" w:rsidR="00AE7F6F" w:rsidRDefault="00AE7F6F" w:rsidP="004D0492">
      <w:pPr>
        <w:pStyle w:val="Paragrafoelenco"/>
      </w:pPr>
      <w:r>
        <w:t>Il numero di squadre iscritte da un RA deve soddisfare la chiave arbitri. Gli arbitri possono essere messi a disposizione da una o più società aderenti al raggruppamento. Ogni società del raggruppamento deve comunque soddisfare la chiave arbitri per l’iscrizione diretta di sue squadre all’infuori del raggruppamento.</w:t>
      </w:r>
    </w:p>
    <w:p w14:paraId="0A2130F3" w14:textId="268E7916" w:rsidR="00C47822" w:rsidRPr="00B53BB5" w:rsidRDefault="00C47822" w:rsidP="00C47822">
      <w:pPr>
        <w:pStyle w:val="Paragrafoelenco"/>
        <w:numPr>
          <w:ilvl w:val="0"/>
          <w:numId w:val="2"/>
        </w:numPr>
      </w:pPr>
      <w:r>
        <w:t xml:space="preserve">Ciascuna società con squadre allievi D/9 deve avere almeno un mini arbitro. </w:t>
      </w:r>
    </w:p>
    <w:p w14:paraId="3E7A3C99" w14:textId="77777777" w:rsidR="00AE7F6F" w:rsidRDefault="00AE7F6F" w:rsidP="004D0492">
      <w:pPr>
        <w:spacing w:after="0"/>
        <w:rPr>
          <w:b/>
        </w:rPr>
      </w:pPr>
      <w:r w:rsidRPr="00AD5ECC">
        <w:rPr>
          <w:b/>
        </w:rPr>
        <w:lastRenderedPageBreak/>
        <w:t>Art. 4. STATO ARBITRALE</w:t>
      </w:r>
    </w:p>
    <w:p w14:paraId="72738FBF" w14:textId="28DCF7C0" w:rsidR="00AE7F6F" w:rsidRDefault="00AE7F6F" w:rsidP="00AE7F6F">
      <w:r>
        <w:t xml:space="preserve">La </w:t>
      </w:r>
      <w:r w:rsidRPr="00E208B2">
        <w:rPr>
          <w:highlight w:val="yellow"/>
        </w:rPr>
        <w:t>S</w:t>
      </w:r>
      <w:r w:rsidR="00E208B2" w:rsidRPr="00E208B2">
        <w:rPr>
          <w:highlight w:val="yellow"/>
        </w:rPr>
        <w:t>A</w:t>
      </w:r>
      <w:r>
        <w:t xml:space="preserve"> della FTC verifica al 31 dicembre di ogni </w:t>
      </w:r>
      <w:r w:rsidR="004D0492">
        <w:t>anno il numero degli arbitri, a</w:t>
      </w:r>
      <w:r>
        <w:t>ssistenti degli arbitri, istruttori e ispettori da considerare secondo l’art. 2 punto 1 e allestisce l’elenco ufficiale che trasmette al Comitato della FTC.</w:t>
      </w:r>
    </w:p>
    <w:p w14:paraId="565E8E3E" w14:textId="77777777" w:rsidR="00AE7F6F" w:rsidRDefault="00AE7F6F" w:rsidP="004D0492">
      <w:pPr>
        <w:spacing w:after="0"/>
        <w:rPr>
          <w:b/>
        </w:rPr>
      </w:pPr>
      <w:r w:rsidRPr="00AD5ECC">
        <w:rPr>
          <w:b/>
        </w:rPr>
        <w:t>Art.5. ELENCO SQUADRE ISCRITTE</w:t>
      </w:r>
    </w:p>
    <w:p w14:paraId="0483C41B" w14:textId="6F55DFE4" w:rsidR="00AE7F6F" w:rsidRDefault="00AE7F6F" w:rsidP="00AE7F6F">
      <w:pPr>
        <w:pStyle w:val="Paragrafoelenco"/>
        <w:numPr>
          <w:ilvl w:val="0"/>
          <w:numId w:val="3"/>
        </w:numPr>
      </w:pPr>
      <w:r>
        <w:t>Il comitato della FTC, nel corso del mese di gennaio allestisce in base all’elenco della DSA, quello delle squadre che ogni società potrà iscrivere nella stagione successiva, dandone tempestiva comunicazione alle stesse.</w:t>
      </w:r>
    </w:p>
    <w:p w14:paraId="4E0702A5" w14:textId="77777777" w:rsidR="00AE7F6F" w:rsidRDefault="00AE7F6F" w:rsidP="00AE7F6F">
      <w:pPr>
        <w:pStyle w:val="Paragrafoelenco"/>
        <w:numPr>
          <w:ilvl w:val="0"/>
          <w:numId w:val="3"/>
        </w:numPr>
      </w:pPr>
      <w:r>
        <w:t>L’iscrizione di arbitri di nuova qualifica durante il periodo 1 gennaio/30 giugno, sarà tenuta in considerazione per l’aggiornamento dell’elenco delle squadre ammesse secondo il punto 1 del presente articolo.</w:t>
      </w:r>
    </w:p>
    <w:p w14:paraId="7DFD4EAD" w14:textId="77777777" w:rsidR="00AE7F6F" w:rsidRPr="004D0492" w:rsidRDefault="00AE7F6F" w:rsidP="004D0492">
      <w:pPr>
        <w:spacing w:after="0"/>
        <w:rPr>
          <w:b/>
        </w:rPr>
      </w:pPr>
      <w:r w:rsidRPr="004D0492">
        <w:rPr>
          <w:b/>
        </w:rPr>
        <w:t>Art. 6. POSSIBILITÀ DI DEROGA</w:t>
      </w:r>
    </w:p>
    <w:p w14:paraId="79C041C6" w14:textId="77777777" w:rsidR="00AE7F6F" w:rsidRDefault="00AE7F6F" w:rsidP="004D0492">
      <w:pPr>
        <w:spacing w:after="120"/>
      </w:pPr>
      <w:r>
        <w:t>Il Comitato della FTC può derogare a quanto stabilito all’art.5, solo in uno dei seguenti casi e alle condizioni qui esposte.</w:t>
      </w:r>
    </w:p>
    <w:p w14:paraId="4B18860B" w14:textId="0E3C6F9D" w:rsidR="004D0492" w:rsidRDefault="00AE7F6F" w:rsidP="00E55AF1">
      <w:pPr>
        <w:pStyle w:val="Paragrafoelenco"/>
        <w:numPr>
          <w:ilvl w:val="0"/>
          <w:numId w:val="4"/>
        </w:numPr>
        <w:spacing w:after="240"/>
      </w:pPr>
      <w:r>
        <w:t xml:space="preserve">Se al momento dell’iscrizione la società non dispone di alcun arbitro qualificato, il Comitato FTC concederà l’iscrizione di una sola squadra, e, in ogni caso, soltanto per </w:t>
      </w:r>
      <w:r w:rsidR="00E208B2" w:rsidRPr="00E208B2">
        <w:rPr>
          <w:highlight w:val="yellow"/>
        </w:rPr>
        <w:t>tre</w:t>
      </w:r>
      <w:r>
        <w:t xml:space="preserve"> stagioni.</w:t>
      </w:r>
    </w:p>
    <w:p w14:paraId="545582C1" w14:textId="6BAC4679" w:rsidR="00AE7F6F" w:rsidRDefault="00AE7F6F" w:rsidP="00E55AF1">
      <w:pPr>
        <w:pStyle w:val="Paragrafoelenco"/>
        <w:numPr>
          <w:ilvl w:val="0"/>
          <w:numId w:val="4"/>
        </w:numPr>
        <w:spacing w:after="240"/>
      </w:pPr>
      <w:r>
        <w:t>Se al momento dell’iscrizione una società si trova ad avere un numero inferiore di arbitri rispetto alla chiave prevista all’art.3 a seguito di:</w:t>
      </w:r>
    </w:p>
    <w:p w14:paraId="6F86130E" w14:textId="77777777" w:rsidR="00AE7F6F" w:rsidRDefault="00AE7F6F" w:rsidP="00AE7F6F">
      <w:pPr>
        <w:pStyle w:val="Paragrafoelenco"/>
        <w:numPr>
          <w:ilvl w:val="0"/>
          <w:numId w:val="5"/>
        </w:numPr>
      </w:pPr>
      <w:r>
        <w:t>Trasferimento di un proprio arbitro ad un’altra società nel periodo 1 luglio/31 dicembre;</w:t>
      </w:r>
    </w:p>
    <w:p w14:paraId="05960457" w14:textId="77777777" w:rsidR="00AE7F6F" w:rsidRDefault="00AE7F6F" w:rsidP="00AE7F6F">
      <w:pPr>
        <w:pStyle w:val="Paragrafoelenco"/>
        <w:numPr>
          <w:ilvl w:val="0"/>
          <w:numId w:val="5"/>
        </w:numPr>
      </w:pPr>
      <w:r>
        <w:t>Dimissioni di un proprio arbitro nel periodo 1 gennaio/30 giugno;</w:t>
      </w:r>
    </w:p>
    <w:p w14:paraId="673121A5" w14:textId="77777777" w:rsidR="00AE7F6F" w:rsidRDefault="00AE7F6F" w:rsidP="00AE7F6F">
      <w:r>
        <w:t>Il Comitato potrà mantenere lo stesso numero di squadre iscritte, ma solo per una stagione, nel caso in cui la società dovesse dimostrare di aver fatto il necessario per ovviare a questa situazione.</w:t>
      </w:r>
    </w:p>
    <w:p w14:paraId="62E49EF1" w14:textId="4E51FB20" w:rsidR="00AE7F6F" w:rsidRDefault="00AE7F6F" w:rsidP="00AE7F6F">
      <w:r>
        <w:t>Per dimostrare di aver fatto il necessario, occorre che la società comprovi di ave</w:t>
      </w:r>
      <w:r w:rsidR="00DD30A8">
        <w:t>r</w:t>
      </w:r>
      <w:r>
        <w:t xml:space="preserve"> iscritto un candidato idoneo a un corso per la formazione degli arbitri.</w:t>
      </w:r>
    </w:p>
    <w:p w14:paraId="77B261E2" w14:textId="77777777" w:rsidR="00AE7F6F" w:rsidRDefault="00AE7F6F" w:rsidP="004D0492">
      <w:pPr>
        <w:spacing w:after="0"/>
        <w:rPr>
          <w:b/>
        </w:rPr>
      </w:pPr>
      <w:r w:rsidRPr="00A758D0">
        <w:rPr>
          <w:b/>
        </w:rPr>
        <w:t xml:space="preserve">Art.7. MANCATA OSSERVANZA DELLE PRESCRIZIONI </w:t>
      </w:r>
    </w:p>
    <w:p w14:paraId="11620F3E" w14:textId="77777777" w:rsidR="00AE7F6F" w:rsidRDefault="00AE7F6F" w:rsidP="00AE7F6F">
      <w:pPr>
        <w:pStyle w:val="Paragrafoelenco"/>
        <w:numPr>
          <w:ilvl w:val="0"/>
          <w:numId w:val="6"/>
        </w:numPr>
      </w:pPr>
      <w:r>
        <w:t>Non mettendosi la società in regola entro il 31 dicembre dell’anno in corso, per il caso previsto al punto 6.2 del precedente articolo, la stessa non potrà più beneficiare di alcune deroga per la stagione successiva e l’iscrizione delle squadre sarà conseguente al numero effettivo degli arbitri secondo l’art. 3.</w:t>
      </w:r>
    </w:p>
    <w:p w14:paraId="79EF85FA" w14:textId="71C65628" w:rsidR="00AE7F6F" w:rsidRDefault="00AE7F6F" w:rsidP="00AE7F6F">
      <w:pPr>
        <w:pStyle w:val="Paragrafoelenco"/>
        <w:numPr>
          <w:ilvl w:val="0"/>
          <w:numId w:val="6"/>
        </w:numPr>
      </w:pPr>
      <w:r>
        <w:t xml:space="preserve">Trascorso il termine di </w:t>
      </w:r>
      <w:r w:rsidR="004A4DE0" w:rsidRPr="004A4DE0">
        <w:rPr>
          <w:highlight w:val="yellow"/>
        </w:rPr>
        <w:t>tre</w:t>
      </w:r>
      <w:r>
        <w:t xml:space="preserve"> anni concesso secondo il punto 1 dell’articolo precedente, senza l’annuncio di un arbitro qualificato secondo il disposto dell’art.2 la società non potrà iscrivere la propria squadra, senza alcuna preventiva procedura specifica.</w:t>
      </w:r>
    </w:p>
    <w:p w14:paraId="60E42DF9" w14:textId="51CC4DC2" w:rsidR="00C47822" w:rsidRPr="00C47822" w:rsidRDefault="00C47822" w:rsidP="00C47822">
      <w:pPr>
        <w:pStyle w:val="Paragrafoelenco"/>
        <w:numPr>
          <w:ilvl w:val="0"/>
          <w:numId w:val="6"/>
        </w:numPr>
        <w:rPr>
          <w:highlight w:val="yellow"/>
          <w:u w:val="single"/>
        </w:rPr>
      </w:pPr>
      <w:r w:rsidRPr="004A4DE0">
        <w:rPr>
          <w:highlight w:val="yellow"/>
        </w:rPr>
        <w:t xml:space="preserve">La società messa a beneficio dell’eccezione di cui all’art.6, ha l’obbligo di versare l’importo di CHF 1’000. -- per la prima stagione, di CHF 3’000. - per la seconda stagione e di CHF 5'000 per la terza stagione quale contributo compensativo, che sarà devoluto al </w:t>
      </w:r>
      <w:r>
        <w:rPr>
          <w:highlight w:val="yellow"/>
        </w:rPr>
        <w:t>Fondo formazione arbitri (FFA)</w:t>
      </w:r>
      <w:r w:rsidRPr="004A4DE0">
        <w:rPr>
          <w:highlight w:val="yellow"/>
        </w:rPr>
        <w:t>.</w:t>
      </w:r>
      <w:r>
        <w:rPr>
          <w:highlight w:val="yellow"/>
        </w:rPr>
        <w:t xml:space="preserve"> Inoltre le società con squadre D9 che non hanno a disposizione mini arbitri dovranno versare CHF 200 al FFA</w:t>
      </w:r>
    </w:p>
    <w:p w14:paraId="25CFE17F" w14:textId="77777777" w:rsidR="00C47822" w:rsidRPr="00C47822" w:rsidRDefault="00C47822" w:rsidP="00C47822">
      <w:pPr>
        <w:pStyle w:val="Paragrafoelenco"/>
        <w:rPr>
          <w:highlight w:val="yellow"/>
          <w:u w:val="single"/>
        </w:rPr>
      </w:pPr>
    </w:p>
    <w:p w14:paraId="74F3BA75" w14:textId="77777777" w:rsidR="00AE7F6F" w:rsidRDefault="00AE7F6F" w:rsidP="004D0492">
      <w:pPr>
        <w:spacing w:after="0"/>
        <w:rPr>
          <w:b/>
        </w:rPr>
      </w:pPr>
      <w:r w:rsidRPr="005F34FC">
        <w:rPr>
          <w:b/>
        </w:rPr>
        <w:lastRenderedPageBreak/>
        <w:t>Art.8. FONDO FORMAZIONE ARBITRI</w:t>
      </w:r>
    </w:p>
    <w:p w14:paraId="45451769" w14:textId="06DB3807" w:rsidR="00AE7F6F" w:rsidRDefault="00AE7F6F" w:rsidP="00AE7F6F">
      <w:pPr>
        <w:pStyle w:val="Paragrafoelenco"/>
        <w:numPr>
          <w:ilvl w:val="0"/>
          <w:numId w:val="7"/>
        </w:numPr>
      </w:pPr>
      <w:r>
        <w:t>Il Comitato FTC ha istituito il fondo per la formazione degli arbitri.</w:t>
      </w:r>
    </w:p>
    <w:p w14:paraId="069FE932" w14:textId="77777777" w:rsidR="00AE7F6F" w:rsidRDefault="00AE7F6F" w:rsidP="004D0492">
      <w:pPr>
        <w:spacing w:after="0"/>
        <w:rPr>
          <w:b/>
        </w:rPr>
      </w:pPr>
      <w:bookmarkStart w:id="0" w:name="_GoBack"/>
      <w:bookmarkEnd w:id="0"/>
      <w:r w:rsidRPr="005F34FC">
        <w:rPr>
          <w:b/>
        </w:rPr>
        <w:t>Art.9. TASSA DI ISCRIZIONE</w:t>
      </w:r>
    </w:p>
    <w:p w14:paraId="3FC1D2AB" w14:textId="4D117BB7" w:rsidR="00AE7F6F" w:rsidRDefault="00AE7F6F" w:rsidP="00AE7F6F">
      <w:r>
        <w:t>È richiesta a ogni candida</w:t>
      </w:r>
      <w:r w:rsidR="00346944">
        <w:t>to una tassa di iscrizione di CHF</w:t>
      </w:r>
      <w:r>
        <w:t xml:space="preserve"> </w:t>
      </w:r>
      <w:r w:rsidR="00346944">
        <w:t>300. --</w:t>
      </w:r>
      <w:r>
        <w:t xml:space="preserve"> + </w:t>
      </w:r>
      <w:r w:rsidR="00346944">
        <w:t>CHF 30. --</w:t>
      </w:r>
      <w:r>
        <w:t xml:space="preserve"> per il materiale, la stessa rimane nelle casse della FTC a copertura delle spese </w:t>
      </w:r>
      <w:r w:rsidRPr="004D0492">
        <w:t>vive.</w:t>
      </w:r>
      <w:r w:rsidR="00346944">
        <w:t xml:space="preserve"> La cauzione di CHF</w:t>
      </w:r>
      <w:r>
        <w:t xml:space="preserve"> </w:t>
      </w:r>
      <w:r w:rsidR="00346944">
        <w:t>500. --</w:t>
      </w:r>
      <w:r>
        <w:t xml:space="preserve"> è abrogata.</w:t>
      </w:r>
    </w:p>
    <w:p w14:paraId="09BBCA1C" w14:textId="77777777" w:rsidR="00AE7F6F" w:rsidRDefault="00AE7F6F" w:rsidP="004D0492">
      <w:pPr>
        <w:spacing w:after="0"/>
        <w:rPr>
          <w:b/>
        </w:rPr>
      </w:pPr>
      <w:r w:rsidRPr="00C25125">
        <w:rPr>
          <w:b/>
        </w:rPr>
        <w:t>Art.10. TRASFERIMENTO</w:t>
      </w:r>
    </w:p>
    <w:p w14:paraId="04453B70" w14:textId="77777777" w:rsidR="00AE7F6F" w:rsidRDefault="00AE7F6F" w:rsidP="00AE7F6F">
      <w:pPr>
        <w:pStyle w:val="Paragrafoelenco"/>
        <w:numPr>
          <w:ilvl w:val="0"/>
          <w:numId w:val="8"/>
        </w:numPr>
        <w:rPr>
          <w:u w:val="single"/>
        </w:rPr>
      </w:pPr>
      <w:r>
        <w:t xml:space="preserve">L’arbitro deve dimissionare dal precedente club entro il 31 dicembre, l’affiliazione al nuovo club entra in vigore </w:t>
      </w:r>
      <w:r w:rsidRPr="00C25125">
        <w:rPr>
          <w:u w:val="single"/>
        </w:rPr>
        <w:t>trascorsi 18 mesi dalla decisione.</w:t>
      </w:r>
    </w:p>
    <w:p w14:paraId="5223F008" w14:textId="77777777" w:rsidR="00AE7F6F" w:rsidRDefault="00AE7F6F" w:rsidP="004D0492">
      <w:pPr>
        <w:spacing w:after="0"/>
      </w:pPr>
      <w:r w:rsidRPr="001C011D">
        <w:rPr>
          <w:b/>
        </w:rPr>
        <w:t>Art. 11. DISPOSIZIONI FINALI</w:t>
      </w:r>
    </w:p>
    <w:p w14:paraId="5F23B9B5" w14:textId="77777777" w:rsidR="004D0492" w:rsidRDefault="00AE7F6F" w:rsidP="004D0492">
      <w:pPr>
        <w:pStyle w:val="Paragrafoelenco"/>
        <w:numPr>
          <w:ilvl w:val="0"/>
          <w:numId w:val="9"/>
        </w:numPr>
        <w:spacing w:after="120"/>
        <w:ind w:left="714" w:hanging="357"/>
      </w:pPr>
      <w:r>
        <w:t>In caso di contestazioni o nei casi non previsti, decide il Comitato della FTC.</w:t>
      </w:r>
    </w:p>
    <w:p w14:paraId="1C1435D2" w14:textId="15A1115C" w:rsidR="00AE7F6F" w:rsidRDefault="00AE7F6F" w:rsidP="004D0492">
      <w:pPr>
        <w:pStyle w:val="Paragrafoelenco"/>
        <w:numPr>
          <w:ilvl w:val="0"/>
          <w:numId w:val="9"/>
        </w:numPr>
        <w:spacing w:after="120"/>
        <w:ind w:left="714" w:hanging="357"/>
      </w:pPr>
      <w:r>
        <w:t>Contro la limitazione del numero delle squadre a seguito della carenza di arbitri, non è dato ricorso.</w:t>
      </w:r>
    </w:p>
    <w:p w14:paraId="4E616BB7" w14:textId="5D92FC42" w:rsidR="00AE7F6F" w:rsidRPr="001C011D" w:rsidRDefault="00AE7F6F" w:rsidP="004D0492">
      <w:pPr>
        <w:pStyle w:val="Paragrafoelenco"/>
        <w:numPr>
          <w:ilvl w:val="0"/>
          <w:numId w:val="9"/>
        </w:numPr>
        <w:spacing w:after="120"/>
        <w:ind w:left="714" w:hanging="357"/>
      </w:pPr>
      <w:r>
        <w:t>Questo regolamento è stato approvato dal Comitato della Federazione Ticinese di calcio ed entra in vigore con il 01 luglio 201</w:t>
      </w:r>
      <w:r w:rsidR="00351EC0">
        <w:t>8</w:t>
      </w:r>
      <w:r>
        <w:t>. Esso sostituisce e annulla tutte le precedenti disposizioni inerenti alla chiave di riparto arbitri-squadre.</w:t>
      </w:r>
    </w:p>
    <w:p w14:paraId="4D1CD450" w14:textId="64F4E8EC" w:rsidR="00BD422D" w:rsidRDefault="00BD422D"/>
    <w:sectPr w:rsidR="00BD422D" w:rsidSect="00C47822">
      <w:headerReference w:type="even" r:id="rId9"/>
      <w:headerReference w:type="default" r:id="rId10"/>
      <w:headerReference w:type="first" r:id="rId11"/>
      <w:pgSz w:w="11906" w:h="16838"/>
      <w:pgMar w:top="3119" w:right="1134" w:bottom="1134" w:left="1134" w:header="705" w:footer="1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3F7FB" w14:textId="77777777" w:rsidR="00F83D59" w:rsidRDefault="00F83D59" w:rsidP="00CA68E3">
      <w:pPr>
        <w:spacing w:after="0" w:line="240" w:lineRule="auto"/>
      </w:pPr>
      <w:r>
        <w:separator/>
      </w:r>
    </w:p>
  </w:endnote>
  <w:endnote w:type="continuationSeparator" w:id="0">
    <w:p w14:paraId="1588655D" w14:textId="77777777" w:rsidR="00F83D59" w:rsidRDefault="00F83D59" w:rsidP="00CA6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altName w:val="Segoe Script"/>
    <w:charset w:val="00"/>
    <w:family w:val="swiss"/>
    <w:pitch w:val="variable"/>
    <w:sig w:usb0="00000001"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564EB" w14:textId="77777777" w:rsidR="00F83D59" w:rsidRDefault="00F83D59" w:rsidP="00CA68E3">
      <w:pPr>
        <w:spacing w:after="0" w:line="240" w:lineRule="auto"/>
      </w:pPr>
      <w:r>
        <w:separator/>
      </w:r>
    </w:p>
  </w:footnote>
  <w:footnote w:type="continuationSeparator" w:id="0">
    <w:p w14:paraId="500CB742" w14:textId="77777777" w:rsidR="00F83D59" w:rsidRDefault="00F83D59" w:rsidP="00CA6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8AA4" w14:textId="26D4567F" w:rsidR="00CA68E3" w:rsidRDefault="00C47822">
    <w:pPr>
      <w:pStyle w:val="Intestazione"/>
    </w:pPr>
    <w:r>
      <w:rPr>
        <w:noProof/>
        <w:lang w:val="it-IT" w:eastAsia="it-IT"/>
      </w:rPr>
      <w:pict w14:anchorId="2DEAC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430204" o:spid="_x0000_s2053" type="#_x0000_t75" style="position:absolute;margin-left:0;margin-top:0;width:623.5pt;height:870.25pt;z-index:-251652096;mso-position-horizontal:center;mso-position-horizontal-relative:margin;mso-position-vertical:center;mso-position-vertical-relative:margin" o:allowincell="f">
          <v:imagedata r:id="rId1" o:title="sfondo" gain="19661f" blacklevel="22938f"/>
          <w10:wrap anchorx="margin" anchory="margin"/>
        </v:shape>
      </w:pict>
    </w:r>
    <w:r w:rsidR="006714A2">
      <w:rPr>
        <w:noProof/>
        <w:lang w:eastAsia="it-CH"/>
      </w:rPr>
      <w:drawing>
        <wp:anchor distT="0" distB="0" distL="114300" distR="114300" simplePos="0" relativeHeight="251659264" behindDoc="1" locked="0" layoutInCell="0" allowOverlap="1" wp14:anchorId="2275B8E3" wp14:editId="43D393A7">
          <wp:simplePos x="0" y="0"/>
          <wp:positionH relativeFrom="margin">
            <wp:align>center</wp:align>
          </wp:positionH>
          <wp:positionV relativeFrom="margin">
            <wp:align>center</wp:align>
          </wp:positionV>
          <wp:extent cx="7918450" cy="11052175"/>
          <wp:effectExtent l="0" t="0" r="6350" b="0"/>
          <wp:wrapNone/>
          <wp:docPr id="8" name="Immagine 8" descr="s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0" cy="11052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866E4" w14:textId="372AA06B" w:rsidR="00CA68E3" w:rsidRDefault="007A09DF">
    <w:pPr>
      <w:pStyle w:val="Intestazione"/>
    </w:pPr>
    <w:r>
      <w:rPr>
        <w:noProof/>
        <w:lang w:eastAsia="it-CH"/>
      </w:rPr>
      <mc:AlternateContent>
        <mc:Choice Requires="wps">
          <w:drawing>
            <wp:anchor distT="45720" distB="45720" distL="114300" distR="114300" simplePos="0" relativeHeight="251662336" behindDoc="0" locked="0" layoutInCell="1" allowOverlap="1" wp14:anchorId="003C6915" wp14:editId="7A68D83B">
              <wp:simplePos x="0" y="0"/>
              <wp:positionH relativeFrom="column">
                <wp:posOffset>2699385</wp:posOffset>
              </wp:positionH>
              <wp:positionV relativeFrom="paragraph">
                <wp:posOffset>45720</wp:posOffset>
              </wp:positionV>
              <wp:extent cx="3672840" cy="127381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273810"/>
                      </a:xfrm>
                      <a:prstGeom prst="rect">
                        <a:avLst/>
                      </a:prstGeom>
                      <a:noFill/>
                      <a:ln w="9525">
                        <a:noFill/>
                        <a:miter lim="800000"/>
                        <a:headEnd/>
                        <a:tailEnd/>
                      </a:ln>
                    </wps:spPr>
                    <wps:txbx>
                      <w:txbxContent>
                        <w:p w14:paraId="11212F41" w14:textId="77777777" w:rsidR="00CA68E3" w:rsidRPr="00120C97" w:rsidRDefault="00CA68E3" w:rsidP="00B7304A">
                          <w:pPr>
                            <w:pStyle w:val="Pa0"/>
                            <w:spacing w:line="276" w:lineRule="auto"/>
                            <w:jc w:val="right"/>
                            <w:rPr>
                              <w:rFonts w:asciiTheme="minorHAnsi" w:hAnsiTheme="minorHAnsi" w:cs="Swis721 BT"/>
                              <w:color w:val="221E1F"/>
                              <w:sz w:val="16"/>
                              <w:szCs w:val="16"/>
                            </w:rPr>
                          </w:pPr>
                          <w:r w:rsidRPr="00120C97">
                            <w:rPr>
                              <w:rStyle w:val="A0"/>
                              <w:rFonts w:asciiTheme="minorHAnsi" w:hAnsiTheme="minorHAnsi"/>
                              <w:b/>
                              <w:bCs/>
                            </w:rPr>
                            <w:t>FEDERAZIONE TICINESE CALCIO</w:t>
                          </w:r>
                        </w:p>
                        <w:p w14:paraId="411E7C99" w14:textId="77777777" w:rsidR="00CA68E3" w:rsidRPr="00120C97" w:rsidRDefault="00CA68E3" w:rsidP="00B7304A">
                          <w:pPr>
                            <w:pStyle w:val="Pa0"/>
                            <w:spacing w:line="276" w:lineRule="auto"/>
                            <w:jc w:val="right"/>
                            <w:rPr>
                              <w:rFonts w:asciiTheme="minorHAnsi" w:hAnsiTheme="minorHAnsi" w:cs="Swis721 BT"/>
                              <w:color w:val="221E1F"/>
                              <w:sz w:val="16"/>
                              <w:szCs w:val="16"/>
                            </w:rPr>
                          </w:pPr>
                          <w:r w:rsidRPr="00120C97">
                            <w:rPr>
                              <w:rStyle w:val="A0"/>
                              <w:rFonts w:asciiTheme="minorHAnsi" w:hAnsiTheme="minorHAnsi"/>
                            </w:rPr>
                            <w:t>Via Campagna 2.1 - Casella postale 965 - CH 6512 Giubiasco</w:t>
                          </w:r>
                        </w:p>
                        <w:p w14:paraId="499EC4F6" w14:textId="77777777" w:rsidR="00CA68E3" w:rsidRPr="00043D5F" w:rsidRDefault="00CA68E3" w:rsidP="00B7304A">
                          <w:pPr>
                            <w:pStyle w:val="Pa0"/>
                            <w:spacing w:line="276" w:lineRule="auto"/>
                            <w:jc w:val="right"/>
                            <w:rPr>
                              <w:rFonts w:asciiTheme="minorHAnsi" w:hAnsiTheme="minorHAnsi" w:cs="Swis721 BT"/>
                              <w:color w:val="221E1F"/>
                              <w:sz w:val="16"/>
                              <w:szCs w:val="16"/>
                              <w:lang w:val="fr-FR"/>
                            </w:rPr>
                          </w:pPr>
                          <w:r w:rsidRPr="00043D5F">
                            <w:rPr>
                              <w:rStyle w:val="A0"/>
                              <w:rFonts w:asciiTheme="minorHAnsi" w:hAnsiTheme="minorHAnsi"/>
                              <w:lang w:val="fr-FR"/>
                            </w:rPr>
                            <w:t>Tel: +41(91) 857 01 31 - Fax: +41(91) 857 01 55</w:t>
                          </w:r>
                        </w:p>
                        <w:p w14:paraId="6AF6E0DD" w14:textId="77777777" w:rsidR="00CA68E3" w:rsidRPr="006714A2" w:rsidRDefault="00CA68E3" w:rsidP="00B7304A">
                          <w:pPr>
                            <w:jc w:val="right"/>
                            <w:rPr>
                              <w:rFonts w:cs="Swis721 BT"/>
                              <w:b/>
                              <w:bCs/>
                              <w:color w:val="221E1F"/>
                              <w:sz w:val="16"/>
                              <w:szCs w:val="16"/>
                              <w:lang w:val="fr-FR"/>
                            </w:rPr>
                          </w:pPr>
                          <w:r w:rsidRPr="006714A2">
                            <w:rPr>
                              <w:rStyle w:val="A0"/>
                              <w:bCs/>
                              <w:lang w:val="fr-FR"/>
                            </w:rPr>
                            <w:t>Email: ftc@football.ch</w:t>
                          </w:r>
                          <w:r w:rsidR="00A23A2A" w:rsidRPr="006714A2">
                            <w:rPr>
                              <w:rStyle w:val="A0"/>
                              <w:b/>
                              <w:bCs/>
                              <w:lang w:val="fr-FR"/>
                            </w:rPr>
                            <w:br/>
                            <w:t>www.</w:t>
                          </w:r>
                          <w:r w:rsidRPr="006714A2">
                            <w:rPr>
                              <w:rStyle w:val="A0"/>
                              <w:b/>
                              <w:bCs/>
                              <w:lang w:val="fr-FR"/>
                            </w:rPr>
                            <w:t>football.ch/ftc</w:t>
                          </w:r>
                          <w:r w:rsidRPr="006714A2">
                            <w:rPr>
                              <w:rStyle w:val="A0"/>
                              <w:b/>
                              <w:bCs/>
                              <w:lang w:val="fr-FR"/>
                            </w:rPr>
                            <w:br/>
                            <w:t>www.calcioregionale.ch</w:t>
                          </w:r>
                        </w:p>
                        <w:p w14:paraId="1C1D73C6" w14:textId="77777777" w:rsidR="00CA68E3" w:rsidRPr="006714A2" w:rsidRDefault="00CA68E3" w:rsidP="00B7304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C6915" id="_x0000_t202" coordsize="21600,21600" o:spt="202" path="m,l,21600r21600,l21600,xe">
              <v:stroke joinstyle="miter"/>
              <v:path gradientshapeok="t" o:connecttype="rect"/>
            </v:shapetype>
            <v:shape id="Casella di testo 2" o:spid="_x0000_s1026" type="#_x0000_t202" style="position:absolute;margin-left:212.55pt;margin-top:3.6pt;width:289.2pt;height:10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" filled="f" stroked="f">
              <v:textbox>
                <w:txbxContent>
                  <w:p w14:paraId="11212F41" w14:textId="77777777" w:rsidR="00CA68E3" w:rsidRPr="00120C97" w:rsidRDefault="00CA68E3" w:rsidP="00B7304A">
                    <w:pPr>
                      <w:pStyle w:val="Pa0"/>
                      <w:spacing w:line="276" w:lineRule="auto"/>
                      <w:jc w:val="right"/>
                      <w:rPr>
                        <w:rFonts w:asciiTheme="minorHAnsi" w:hAnsiTheme="minorHAnsi" w:cs="Swis721 BT"/>
                        <w:color w:val="221E1F"/>
                        <w:sz w:val="16"/>
                        <w:szCs w:val="16"/>
                      </w:rPr>
                    </w:pPr>
                    <w:r w:rsidRPr="00120C97">
                      <w:rPr>
                        <w:rStyle w:val="A0"/>
                        <w:rFonts w:asciiTheme="minorHAnsi" w:hAnsiTheme="minorHAnsi"/>
                        <w:b/>
                        <w:bCs/>
                      </w:rPr>
                      <w:t>FEDERAZIONE TICINESE CALCIO</w:t>
                    </w:r>
                  </w:p>
                  <w:p w14:paraId="411E7C99" w14:textId="77777777" w:rsidR="00CA68E3" w:rsidRPr="00120C97" w:rsidRDefault="00CA68E3" w:rsidP="00B7304A">
                    <w:pPr>
                      <w:pStyle w:val="Pa0"/>
                      <w:spacing w:line="276" w:lineRule="auto"/>
                      <w:jc w:val="right"/>
                      <w:rPr>
                        <w:rFonts w:asciiTheme="minorHAnsi" w:hAnsiTheme="minorHAnsi" w:cs="Swis721 BT"/>
                        <w:color w:val="221E1F"/>
                        <w:sz w:val="16"/>
                        <w:szCs w:val="16"/>
                      </w:rPr>
                    </w:pPr>
                    <w:r w:rsidRPr="00120C97">
                      <w:rPr>
                        <w:rStyle w:val="A0"/>
                        <w:rFonts w:asciiTheme="minorHAnsi" w:hAnsiTheme="minorHAnsi"/>
                      </w:rPr>
                      <w:t>Via Campagna 2.1 - Casella postale 965 - CH 6512 Giubiasco</w:t>
                    </w:r>
                  </w:p>
                  <w:p w14:paraId="499EC4F6" w14:textId="77777777" w:rsidR="00CA68E3" w:rsidRPr="00043D5F" w:rsidRDefault="00CA68E3" w:rsidP="00B7304A">
                    <w:pPr>
                      <w:pStyle w:val="Pa0"/>
                      <w:spacing w:line="276" w:lineRule="auto"/>
                      <w:jc w:val="right"/>
                      <w:rPr>
                        <w:rFonts w:asciiTheme="minorHAnsi" w:hAnsiTheme="minorHAnsi" w:cs="Swis721 BT"/>
                        <w:color w:val="221E1F"/>
                        <w:sz w:val="16"/>
                        <w:szCs w:val="16"/>
                        <w:lang w:val="fr-FR"/>
                      </w:rPr>
                    </w:pPr>
                    <w:r w:rsidRPr="00043D5F">
                      <w:rPr>
                        <w:rStyle w:val="A0"/>
                        <w:rFonts w:asciiTheme="minorHAnsi" w:hAnsiTheme="minorHAnsi"/>
                        <w:lang w:val="fr-FR"/>
                      </w:rPr>
                      <w:t>Tel: +41(91) 857 01 31 - Fax: +41(91) 857 01 55</w:t>
                    </w:r>
                  </w:p>
                  <w:p w14:paraId="6AF6E0DD" w14:textId="77777777" w:rsidR="00CA68E3" w:rsidRPr="006714A2" w:rsidRDefault="00CA68E3" w:rsidP="00B7304A">
                    <w:pPr>
                      <w:jc w:val="right"/>
                      <w:rPr>
                        <w:rFonts w:cs="Swis721 BT"/>
                        <w:b/>
                        <w:bCs/>
                        <w:color w:val="221E1F"/>
                        <w:sz w:val="16"/>
                        <w:szCs w:val="16"/>
                        <w:lang w:val="fr-FR"/>
                      </w:rPr>
                    </w:pPr>
                    <w:r w:rsidRPr="006714A2">
                      <w:rPr>
                        <w:rStyle w:val="A0"/>
                        <w:bCs/>
                        <w:lang w:val="fr-FR"/>
                      </w:rPr>
                      <w:t>Email: ftc@football.ch</w:t>
                    </w:r>
                    <w:r w:rsidR="00A23A2A" w:rsidRPr="006714A2">
                      <w:rPr>
                        <w:rStyle w:val="A0"/>
                        <w:b/>
                        <w:bCs/>
                        <w:lang w:val="fr-FR"/>
                      </w:rPr>
                      <w:br/>
                      <w:t>www.</w:t>
                    </w:r>
                    <w:r w:rsidRPr="006714A2">
                      <w:rPr>
                        <w:rStyle w:val="A0"/>
                        <w:b/>
                        <w:bCs/>
                        <w:lang w:val="fr-FR"/>
                      </w:rPr>
                      <w:t>football.ch/ftc</w:t>
                    </w:r>
                    <w:r w:rsidRPr="006714A2">
                      <w:rPr>
                        <w:rStyle w:val="A0"/>
                        <w:b/>
                        <w:bCs/>
                        <w:lang w:val="fr-FR"/>
                      </w:rPr>
                      <w:br/>
                      <w:t>www.calcioregionale.ch</w:t>
                    </w:r>
                  </w:p>
                  <w:p w14:paraId="1C1D73C6" w14:textId="77777777" w:rsidR="00CA68E3" w:rsidRPr="006714A2" w:rsidRDefault="00CA68E3" w:rsidP="00B7304A">
                    <w:pPr>
                      <w:rPr>
                        <w:lang w:val="fr-FR"/>
                      </w:rPr>
                    </w:pPr>
                  </w:p>
                </w:txbxContent>
              </v:textbox>
              <w10:wrap type="square"/>
            </v:shape>
          </w:pict>
        </mc:Fallback>
      </mc:AlternateContent>
    </w:r>
    <w:r w:rsidR="00D41E89">
      <w:rPr>
        <w:noProof/>
        <w:lang w:eastAsia="it-CH"/>
      </w:rPr>
      <w:drawing>
        <wp:anchor distT="0" distB="0" distL="114300" distR="114300" simplePos="0" relativeHeight="251665408" behindDoc="1" locked="0" layoutInCell="1" allowOverlap="1" wp14:anchorId="1942A692" wp14:editId="79590854">
          <wp:simplePos x="0" y="0"/>
          <wp:positionH relativeFrom="page">
            <wp:align>center</wp:align>
          </wp:positionH>
          <wp:positionV relativeFrom="page">
            <wp:align>center</wp:align>
          </wp:positionV>
          <wp:extent cx="7918669" cy="11051999"/>
          <wp:effectExtent l="0" t="0" r="635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on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669" cy="11051999"/>
                  </a:xfrm>
                  <a:prstGeom prst="rect">
                    <a:avLst/>
                  </a:prstGeom>
                </pic:spPr>
              </pic:pic>
            </a:graphicData>
          </a:graphic>
          <wp14:sizeRelH relativeFrom="margin">
            <wp14:pctWidth>0</wp14:pctWidth>
          </wp14:sizeRelH>
          <wp14:sizeRelV relativeFrom="margin">
            <wp14:pctHeight>0</wp14:pctHeight>
          </wp14:sizeRelV>
        </wp:anchor>
      </w:drawing>
    </w:r>
    <w:r w:rsidR="00BD422D">
      <w:rPr>
        <w:noProof/>
        <w:lang w:eastAsia="it-IT"/>
      </w:rPr>
      <w:tab/>
    </w:r>
  </w:p>
  <w:p w14:paraId="5F701450" w14:textId="77777777" w:rsidR="00CA68E3" w:rsidRDefault="00D41E89" w:rsidP="00D41E89">
    <w:pPr>
      <w:pStyle w:val="Intestazione"/>
      <w:tabs>
        <w:tab w:val="clear" w:pos="4819"/>
        <w:tab w:val="clear" w:pos="9638"/>
        <w:tab w:val="left" w:pos="14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2E37" w14:textId="77777777" w:rsidR="00CA68E3" w:rsidRDefault="00C47822">
    <w:pPr>
      <w:pStyle w:val="Intestazione"/>
    </w:pPr>
    <w:r>
      <w:rPr>
        <w:noProof/>
        <w:lang w:val="it-IT" w:eastAsia="it-IT"/>
      </w:rPr>
      <w:pict w14:anchorId="67F3D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430203" o:spid="_x0000_s2052" type="#_x0000_t75" style="position:absolute;margin-left:0;margin-top:0;width:623.5pt;height:870.25pt;z-index:-251653120;mso-position-horizontal:center;mso-position-horizontal-relative:margin;mso-position-vertical:center;mso-position-vertical-relative:margin" o:allowincell="f">
          <v:imagedata r:id="rId1" o:title="sfon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09B4"/>
    <w:multiLevelType w:val="hybridMultilevel"/>
    <w:tmpl w:val="A4B67764"/>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15:restartNumberingAfterBreak="0">
    <w:nsid w:val="0931510E"/>
    <w:multiLevelType w:val="hybridMultilevel"/>
    <w:tmpl w:val="F0128FC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15:restartNumberingAfterBreak="0">
    <w:nsid w:val="15226622"/>
    <w:multiLevelType w:val="hybridMultilevel"/>
    <w:tmpl w:val="4D2CE35A"/>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 w15:restartNumberingAfterBreak="0">
    <w:nsid w:val="1A49257D"/>
    <w:multiLevelType w:val="hybridMultilevel"/>
    <w:tmpl w:val="F2F2B800"/>
    <w:lvl w:ilvl="0" w:tplc="F7F06FE4">
      <w:start w:val="1"/>
      <w:numFmt w:val="bullet"/>
      <w:lvlText w:val="-"/>
      <w:lvlJc w:val="left"/>
      <w:pPr>
        <w:ind w:left="1080" w:hanging="360"/>
      </w:pPr>
      <w:rPr>
        <w:rFonts w:ascii="Calibri" w:eastAsiaTheme="minorHAnsi" w:hAnsi="Calibri" w:cstheme="minorBidi" w:hint="default"/>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4" w15:restartNumberingAfterBreak="0">
    <w:nsid w:val="27A06983"/>
    <w:multiLevelType w:val="hybridMultilevel"/>
    <w:tmpl w:val="9B84969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15:restartNumberingAfterBreak="0">
    <w:nsid w:val="45FB62B5"/>
    <w:multiLevelType w:val="hybridMultilevel"/>
    <w:tmpl w:val="CB6C8AB4"/>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4C645F1F"/>
    <w:multiLevelType w:val="hybridMultilevel"/>
    <w:tmpl w:val="3372E89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7" w15:restartNumberingAfterBreak="0">
    <w:nsid w:val="577740D9"/>
    <w:multiLevelType w:val="hybridMultilevel"/>
    <w:tmpl w:val="4DC6F29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15:restartNumberingAfterBreak="0">
    <w:nsid w:val="7A8812D0"/>
    <w:multiLevelType w:val="hybridMultilevel"/>
    <w:tmpl w:val="DF58F38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3"/>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E3"/>
    <w:rsid w:val="00043D5F"/>
    <w:rsid w:val="000C780C"/>
    <w:rsid w:val="000D3FDE"/>
    <w:rsid w:val="000F3BB8"/>
    <w:rsid w:val="001150A4"/>
    <w:rsid w:val="00120C97"/>
    <w:rsid w:val="001223FD"/>
    <w:rsid w:val="00152624"/>
    <w:rsid w:val="00195879"/>
    <w:rsid w:val="001B079D"/>
    <w:rsid w:val="001D029E"/>
    <w:rsid w:val="00202454"/>
    <w:rsid w:val="00203D39"/>
    <w:rsid w:val="00214A98"/>
    <w:rsid w:val="00234B25"/>
    <w:rsid w:val="00251029"/>
    <w:rsid w:val="00251D4F"/>
    <w:rsid w:val="00270009"/>
    <w:rsid w:val="00281298"/>
    <w:rsid w:val="0028147A"/>
    <w:rsid w:val="002970C0"/>
    <w:rsid w:val="002A6E05"/>
    <w:rsid w:val="002C6801"/>
    <w:rsid w:val="00317297"/>
    <w:rsid w:val="00322342"/>
    <w:rsid w:val="003278C5"/>
    <w:rsid w:val="00333188"/>
    <w:rsid w:val="00346944"/>
    <w:rsid w:val="00351EC0"/>
    <w:rsid w:val="0036230F"/>
    <w:rsid w:val="003A27C7"/>
    <w:rsid w:val="003E4AAC"/>
    <w:rsid w:val="003E634A"/>
    <w:rsid w:val="00426771"/>
    <w:rsid w:val="00441307"/>
    <w:rsid w:val="00472852"/>
    <w:rsid w:val="0048190C"/>
    <w:rsid w:val="004A4DE0"/>
    <w:rsid w:val="004A5E3F"/>
    <w:rsid w:val="004D0492"/>
    <w:rsid w:val="00506EF4"/>
    <w:rsid w:val="005317AE"/>
    <w:rsid w:val="00547F09"/>
    <w:rsid w:val="005575E3"/>
    <w:rsid w:val="00565A80"/>
    <w:rsid w:val="00572218"/>
    <w:rsid w:val="00585B32"/>
    <w:rsid w:val="0059123B"/>
    <w:rsid w:val="005A7E7C"/>
    <w:rsid w:val="005B47CE"/>
    <w:rsid w:val="005B4926"/>
    <w:rsid w:val="005D0A54"/>
    <w:rsid w:val="00642110"/>
    <w:rsid w:val="0066034A"/>
    <w:rsid w:val="006612E0"/>
    <w:rsid w:val="006714A2"/>
    <w:rsid w:val="006817AA"/>
    <w:rsid w:val="0068480F"/>
    <w:rsid w:val="006F7049"/>
    <w:rsid w:val="00703BD0"/>
    <w:rsid w:val="00751D1D"/>
    <w:rsid w:val="00753A83"/>
    <w:rsid w:val="00760C96"/>
    <w:rsid w:val="00771DBF"/>
    <w:rsid w:val="00781A0F"/>
    <w:rsid w:val="0078279A"/>
    <w:rsid w:val="007A09DF"/>
    <w:rsid w:val="007A62F4"/>
    <w:rsid w:val="007C7889"/>
    <w:rsid w:val="007D5B75"/>
    <w:rsid w:val="007F7D78"/>
    <w:rsid w:val="008866CC"/>
    <w:rsid w:val="008A718C"/>
    <w:rsid w:val="009015A8"/>
    <w:rsid w:val="00932182"/>
    <w:rsid w:val="00933E75"/>
    <w:rsid w:val="00941939"/>
    <w:rsid w:val="009539BF"/>
    <w:rsid w:val="0096061D"/>
    <w:rsid w:val="009611B4"/>
    <w:rsid w:val="00990A41"/>
    <w:rsid w:val="00990F79"/>
    <w:rsid w:val="0099186A"/>
    <w:rsid w:val="0099417A"/>
    <w:rsid w:val="00997E91"/>
    <w:rsid w:val="009D5651"/>
    <w:rsid w:val="00A23A2A"/>
    <w:rsid w:val="00A31C95"/>
    <w:rsid w:val="00A3679A"/>
    <w:rsid w:val="00A714D8"/>
    <w:rsid w:val="00A71D3B"/>
    <w:rsid w:val="00AD626D"/>
    <w:rsid w:val="00AE14BA"/>
    <w:rsid w:val="00AE7F6F"/>
    <w:rsid w:val="00B47CCD"/>
    <w:rsid w:val="00B7304A"/>
    <w:rsid w:val="00B74E7C"/>
    <w:rsid w:val="00B82033"/>
    <w:rsid w:val="00B8697C"/>
    <w:rsid w:val="00BA7E05"/>
    <w:rsid w:val="00BD1B00"/>
    <w:rsid w:val="00BD422D"/>
    <w:rsid w:val="00BE08AE"/>
    <w:rsid w:val="00BE2559"/>
    <w:rsid w:val="00BE7C35"/>
    <w:rsid w:val="00C03B03"/>
    <w:rsid w:val="00C17184"/>
    <w:rsid w:val="00C20D03"/>
    <w:rsid w:val="00C32E18"/>
    <w:rsid w:val="00C47822"/>
    <w:rsid w:val="00C606A9"/>
    <w:rsid w:val="00C82C96"/>
    <w:rsid w:val="00C86927"/>
    <w:rsid w:val="00C92F82"/>
    <w:rsid w:val="00CA501D"/>
    <w:rsid w:val="00CA53F7"/>
    <w:rsid w:val="00CA68E3"/>
    <w:rsid w:val="00CB023E"/>
    <w:rsid w:val="00CC6AB6"/>
    <w:rsid w:val="00CE03FE"/>
    <w:rsid w:val="00CE17BB"/>
    <w:rsid w:val="00CE28AF"/>
    <w:rsid w:val="00CF732D"/>
    <w:rsid w:val="00D03FA8"/>
    <w:rsid w:val="00D156C8"/>
    <w:rsid w:val="00D17BF7"/>
    <w:rsid w:val="00D27F8E"/>
    <w:rsid w:val="00D30B32"/>
    <w:rsid w:val="00D30CC8"/>
    <w:rsid w:val="00D313B5"/>
    <w:rsid w:val="00D3619B"/>
    <w:rsid w:val="00D363C4"/>
    <w:rsid w:val="00D41E89"/>
    <w:rsid w:val="00D55276"/>
    <w:rsid w:val="00D60DD9"/>
    <w:rsid w:val="00D62683"/>
    <w:rsid w:val="00D816E9"/>
    <w:rsid w:val="00DB0C0F"/>
    <w:rsid w:val="00DB6080"/>
    <w:rsid w:val="00DC3F1C"/>
    <w:rsid w:val="00DD30A8"/>
    <w:rsid w:val="00E16E40"/>
    <w:rsid w:val="00E208B2"/>
    <w:rsid w:val="00E22DDC"/>
    <w:rsid w:val="00E26620"/>
    <w:rsid w:val="00E27F83"/>
    <w:rsid w:val="00E352EE"/>
    <w:rsid w:val="00E41BE4"/>
    <w:rsid w:val="00E511A1"/>
    <w:rsid w:val="00E73784"/>
    <w:rsid w:val="00E83C63"/>
    <w:rsid w:val="00E93A0A"/>
    <w:rsid w:val="00EA5575"/>
    <w:rsid w:val="00EF1201"/>
    <w:rsid w:val="00F138F2"/>
    <w:rsid w:val="00F4549D"/>
    <w:rsid w:val="00F67939"/>
    <w:rsid w:val="00F76CFB"/>
    <w:rsid w:val="00F83D59"/>
    <w:rsid w:val="00FC5DB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4948FFC"/>
  <w15:docId w15:val="{8DEE0CF7-5FB7-4216-A8D5-916FFE47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714A2"/>
    <w:pPr>
      <w:spacing w:after="200" w:line="276" w:lineRule="auto"/>
    </w:pPr>
    <w:rPr>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A68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68E3"/>
  </w:style>
  <w:style w:type="paragraph" w:styleId="Pidipagina">
    <w:name w:val="footer"/>
    <w:basedOn w:val="Normale"/>
    <w:link w:val="PidipaginaCarattere"/>
    <w:uiPriority w:val="99"/>
    <w:unhideWhenUsed/>
    <w:rsid w:val="00CA68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68E3"/>
  </w:style>
  <w:style w:type="paragraph" w:customStyle="1" w:styleId="Pa0">
    <w:name w:val="Pa0"/>
    <w:basedOn w:val="Normale"/>
    <w:next w:val="Normale"/>
    <w:uiPriority w:val="99"/>
    <w:rsid w:val="00CA68E3"/>
    <w:pPr>
      <w:autoSpaceDE w:val="0"/>
      <w:autoSpaceDN w:val="0"/>
      <w:adjustRightInd w:val="0"/>
      <w:spacing w:after="0" w:line="241" w:lineRule="atLeast"/>
    </w:pPr>
    <w:rPr>
      <w:rFonts w:ascii="Swis721 BT" w:hAnsi="Swis721 BT"/>
      <w:sz w:val="24"/>
      <w:szCs w:val="24"/>
    </w:rPr>
  </w:style>
  <w:style w:type="character" w:customStyle="1" w:styleId="A0">
    <w:name w:val="A0"/>
    <w:uiPriority w:val="99"/>
    <w:rsid w:val="00CA68E3"/>
    <w:rPr>
      <w:rFonts w:cs="Swis721 BT"/>
      <w:color w:val="221E1F"/>
      <w:sz w:val="16"/>
      <w:szCs w:val="16"/>
    </w:rPr>
  </w:style>
  <w:style w:type="character" w:styleId="Collegamentoipertestuale">
    <w:name w:val="Hyperlink"/>
    <w:rsid w:val="006714A2"/>
    <w:rPr>
      <w:color w:val="0000FF"/>
      <w:u w:val="single"/>
    </w:rPr>
  </w:style>
  <w:style w:type="paragraph" w:styleId="Paragrafoelenco">
    <w:name w:val="List Paragraph"/>
    <w:basedOn w:val="Normale"/>
    <w:uiPriority w:val="34"/>
    <w:qFormat/>
    <w:rsid w:val="00AE7F6F"/>
    <w:pPr>
      <w:spacing w:after="160" w:line="259" w:lineRule="auto"/>
      <w:ind w:left="720"/>
      <w:contextualSpacing/>
    </w:pPr>
  </w:style>
  <w:style w:type="table" w:styleId="Grigliatabella">
    <w:name w:val="Table Grid"/>
    <w:basedOn w:val="Tabellanormale"/>
    <w:uiPriority w:val="39"/>
    <w:rsid w:val="004D0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image" Target="media/image1.jpeg"/><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289B-95DE-4F74-88C9-00C02616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4560</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dc:creator>
  <cp:keywords/>
  <dc:description/>
  <cp:lastModifiedBy>Domenico Martinello</cp:lastModifiedBy>
  <cp:revision>6</cp:revision>
  <dcterms:created xsi:type="dcterms:W3CDTF">2018-03-01T13:42:00Z</dcterms:created>
  <dcterms:modified xsi:type="dcterms:W3CDTF">2018-03-01T13:57:00Z</dcterms:modified>
</cp:coreProperties>
</file>